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6A0A8">
      <w:pPr>
        <w:spacing w:before="39"/>
        <w:ind w:left="113" w:right="0" w:firstLine="0"/>
        <w:jc w:val="left"/>
        <w:rPr>
          <w:sz w:val="28"/>
        </w:rPr>
      </w:pPr>
      <w:bookmarkStart w:id="0" w:name="_GoBack"/>
      <w:bookmarkEnd w:id="0"/>
      <w:r>
        <w:rPr>
          <w:sz w:val="28"/>
        </w:rPr>
        <w:t>评分细则</w:t>
      </w:r>
    </w:p>
    <w:p w14:paraId="74145E53">
      <w:pPr>
        <w:pStyle w:val="2"/>
        <w:spacing w:before="9"/>
        <w:rPr>
          <w:sz w:val="10"/>
        </w:rPr>
      </w:pPr>
    </w:p>
    <w:tbl>
      <w:tblPr>
        <w:tblStyle w:val="5"/>
        <w:tblW w:w="0" w:type="auto"/>
        <w:tblInd w:w="1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5"/>
        <w:gridCol w:w="6719"/>
        <w:gridCol w:w="1182"/>
      </w:tblGrid>
      <w:tr w14:paraId="4BD615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455" w:type="dxa"/>
          </w:tcPr>
          <w:p w14:paraId="2CA9FF34">
            <w:pPr>
              <w:pStyle w:val="9"/>
              <w:spacing w:before="182"/>
              <w:ind w:left="246"/>
              <w:rPr>
                <w:sz w:val="24"/>
              </w:rPr>
            </w:pPr>
            <w:r>
              <w:rPr>
                <w:sz w:val="24"/>
              </w:rPr>
              <w:t>分值分配</w:t>
            </w:r>
          </w:p>
        </w:tc>
        <w:tc>
          <w:tcPr>
            <w:tcW w:w="6719" w:type="dxa"/>
          </w:tcPr>
          <w:p w14:paraId="75BDC2D7">
            <w:pPr>
              <w:pStyle w:val="9"/>
              <w:spacing w:before="182"/>
              <w:ind w:left="2858" w:right="2850"/>
              <w:jc w:val="center"/>
              <w:rPr>
                <w:sz w:val="24"/>
              </w:rPr>
            </w:pPr>
            <w:r>
              <w:rPr>
                <w:sz w:val="24"/>
              </w:rPr>
              <w:t>项目内容</w:t>
            </w:r>
          </w:p>
        </w:tc>
        <w:tc>
          <w:tcPr>
            <w:tcW w:w="1182" w:type="dxa"/>
          </w:tcPr>
          <w:p w14:paraId="07B7553C">
            <w:pPr>
              <w:pStyle w:val="9"/>
              <w:spacing w:before="182"/>
              <w:ind w:left="110"/>
              <w:rPr>
                <w:sz w:val="24"/>
              </w:rPr>
            </w:pPr>
            <w:r>
              <w:rPr>
                <w:sz w:val="24"/>
              </w:rPr>
              <w:t>实评得分</w:t>
            </w:r>
          </w:p>
        </w:tc>
      </w:tr>
      <w:tr w14:paraId="5BF6C0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0" w:hRule="atLeast"/>
        </w:trPr>
        <w:tc>
          <w:tcPr>
            <w:tcW w:w="1455" w:type="dxa"/>
          </w:tcPr>
          <w:p w14:paraId="381A0A89">
            <w:pPr>
              <w:pStyle w:val="9"/>
              <w:rPr>
                <w:sz w:val="24"/>
              </w:rPr>
            </w:pPr>
          </w:p>
          <w:p w14:paraId="009374CC">
            <w:pPr>
              <w:pStyle w:val="9"/>
              <w:rPr>
                <w:sz w:val="22"/>
              </w:rPr>
            </w:pPr>
          </w:p>
          <w:p w14:paraId="7D098B42">
            <w:pPr>
              <w:pStyle w:val="9"/>
              <w:spacing w:line="280" w:lineRule="auto"/>
              <w:ind w:left="457" w:right="445" w:hanging="3"/>
              <w:jc w:val="center"/>
              <w:rPr>
                <w:sz w:val="24"/>
              </w:rPr>
            </w:pPr>
            <w:r>
              <w:rPr>
                <w:sz w:val="24"/>
              </w:rPr>
              <w:t>价格</w:t>
            </w:r>
            <w:r>
              <w:rPr>
                <w:rFonts w:hint="eastAsia"/>
                <w:sz w:val="24"/>
                <w:lang w:val="en-US" w:eastAsia="zh-CN"/>
              </w:rPr>
              <w:t>40</w:t>
            </w:r>
            <w:r>
              <w:rPr>
                <w:spacing w:val="-39"/>
                <w:sz w:val="24"/>
              </w:rPr>
              <w:t>分</w:t>
            </w:r>
          </w:p>
          <w:p w14:paraId="7802DEBC">
            <w:pPr>
              <w:pStyle w:val="9"/>
              <w:spacing w:before="1" w:line="280" w:lineRule="auto"/>
              <w:ind w:left="126" w:right="116"/>
              <w:jc w:val="center"/>
              <w:rPr>
                <w:sz w:val="24"/>
              </w:rPr>
            </w:pPr>
            <w:r>
              <w:rPr>
                <w:sz w:val="24"/>
              </w:rPr>
              <w:t>（本项统一计算分值）</w:t>
            </w:r>
          </w:p>
        </w:tc>
        <w:tc>
          <w:tcPr>
            <w:tcW w:w="6719" w:type="dxa"/>
          </w:tcPr>
          <w:p w14:paraId="06BC7FEF">
            <w:pPr>
              <w:pStyle w:val="9"/>
              <w:spacing w:before="49" w:line="280" w:lineRule="auto"/>
              <w:ind w:left="106" w:right="96"/>
              <w:jc w:val="both"/>
              <w:rPr>
                <w:sz w:val="24"/>
              </w:rPr>
            </w:pPr>
            <w:r>
              <w:rPr>
                <w:spacing w:val="8"/>
                <w:sz w:val="24"/>
              </w:rPr>
              <w:t>以满足</w:t>
            </w:r>
            <w:r>
              <w:rPr>
                <w:rFonts w:hint="eastAsia"/>
                <w:spacing w:val="8"/>
                <w:sz w:val="24"/>
                <w:lang w:eastAsia="zh-CN"/>
              </w:rPr>
              <w:t>采购文件</w:t>
            </w:r>
            <w:r>
              <w:rPr>
                <w:spacing w:val="8"/>
                <w:sz w:val="24"/>
              </w:rPr>
              <w:t>要求且投标价格最低的投标报价为评标基准</w:t>
            </w:r>
            <w:r>
              <w:rPr>
                <w:spacing w:val="-13"/>
                <w:sz w:val="24"/>
              </w:rPr>
              <w:t xml:space="preserve">价，其价格分为满分 </w:t>
            </w:r>
            <w:r>
              <w:rPr>
                <w:rFonts w:hint="eastAsia"/>
                <w:sz w:val="24"/>
                <w:lang w:val="en-US" w:eastAsia="zh-CN"/>
              </w:rPr>
              <w:t>4</w:t>
            </w:r>
            <w:r>
              <w:rPr>
                <w:sz w:val="24"/>
              </w:rPr>
              <w:t>0</w:t>
            </w:r>
            <w:r>
              <w:rPr>
                <w:spacing w:val="-12"/>
                <w:sz w:val="24"/>
              </w:rPr>
              <w:t xml:space="preserve"> 分，其他投标人的价格分按照下列公式</w:t>
            </w:r>
            <w:r>
              <w:rPr>
                <w:sz w:val="24"/>
              </w:rPr>
              <w:t>计算：</w:t>
            </w:r>
          </w:p>
          <w:p w14:paraId="398633FE">
            <w:pPr>
              <w:pStyle w:val="9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投标报价得分=（评标基准价/投标报价）×</w:t>
            </w:r>
            <w:r>
              <w:rPr>
                <w:rFonts w:hint="eastAsia"/>
                <w:sz w:val="24"/>
                <w:lang w:val="en-US" w:eastAsia="zh-CN"/>
              </w:rPr>
              <w:t>4</w:t>
            </w:r>
            <w:r>
              <w:rPr>
                <w:sz w:val="24"/>
              </w:rPr>
              <w:t>0</w:t>
            </w:r>
          </w:p>
          <w:p w14:paraId="61373494">
            <w:pPr>
              <w:pStyle w:val="9"/>
              <w:spacing w:line="360" w:lineRule="atLeast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注：</w:t>
            </w:r>
            <w:r>
              <w:rPr>
                <w:rFonts w:hint="eastAsia"/>
                <w:sz w:val="24"/>
                <w:lang w:eastAsia="zh-CN"/>
              </w:rPr>
              <w:t>采购文件</w:t>
            </w:r>
            <w:r>
              <w:rPr>
                <w:sz w:val="24"/>
              </w:rPr>
              <w:t>明确规定配置内容的缺项，或备选方案报价，或有选择性暨附有条件报价等不符合规定要求的报价，本项得分直接判零。</w:t>
            </w:r>
          </w:p>
        </w:tc>
        <w:tc>
          <w:tcPr>
            <w:tcW w:w="1182" w:type="dxa"/>
          </w:tcPr>
          <w:p w14:paraId="0966B849">
            <w:pPr>
              <w:pStyle w:val="9"/>
              <w:rPr>
                <w:rFonts w:ascii="Times New Roman"/>
                <w:sz w:val="24"/>
              </w:rPr>
            </w:pPr>
          </w:p>
        </w:tc>
      </w:tr>
      <w:tr w14:paraId="7013A8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9" w:hRule="atLeast"/>
        </w:trPr>
        <w:tc>
          <w:tcPr>
            <w:tcW w:w="1455" w:type="dxa"/>
          </w:tcPr>
          <w:p w14:paraId="0025AD9F">
            <w:pPr>
              <w:pStyle w:val="9"/>
              <w:spacing w:before="12"/>
              <w:rPr>
                <w:sz w:val="31"/>
              </w:rPr>
            </w:pPr>
          </w:p>
          <w:p w14:paraId="0A786A41">
            <w:pPr>
              <w:pStyle w:val="9"/>
              <w:spacing w:line="280" w:lineRule="auto"/>
              <w:ind w:left="457" w:right="236" w:hanging="212"/>
              <w:rPr>
                <w:sz w:val="24"/>
              </w:rPr>
            </w:pPr>
            <w:r>
              <w:rPr>
                <w:sz w:val="24"/>
              </w:rPr>
              <w:t>服务方案</w:t>
            </w:r>
            <w:r>
              <w:rPr>
                <w:rFonts w:hint="eastAsia"/>
                <w:sz w:val="24"/>
                <w:lang w:val="en-US" w:eastAsia="zh-CN"/>
              </w:rPr>
              <w:t>25</w:t>
            </w:r>
            <w:r>
              <w:rPr>
                <w:sz w:val="24"/>
              </w:rPr>
              <w:t xml:space="preserve"> 分</w:t>
            </w:r>
          </w:p>
        </w:tc>
        <w:tc>
          <w:tcPr>
            <w:tcW w:w="6719" w:type="dxa"/>
          </w:tcPr>
          <w:p w14:paraId="51E3C423">
            <w:pPr>
              <w:pStyle w:val="9"/>
              <w:spacing w:before="49" w:line="280" w:lineRule="auto"/>
              <w:ind w:left="106" w:right="96" w:firstLine="480"/>
              <w:jc w:val="both"/>
              <w:rPr>
                <w:sz w:val="24"/>
              </w:rPr>
            </w:pPr>
            <w:r>
              <w:rPr>
                <w:sz w:val="24"/>
              </w:rPr>
              <w:t>依据投标技术服务方案与采购需求的吻合程度，以及对方案的科学性、可靠性、成熟性、合理性等方面作出总体评价， 在 5-</w:t>
            </w:r>
            <w:r>
              <w:rPr>
                <w:rFonts w:hint="eastAsia"/>
                <w:sz w:val="24"/>
                <w:lang w:val="en-US" w:eastAsia="zh-CN"/>
              </w:rPr>
              <w:t>2</w:t>
            </w:r>
            <w:r>
              <w:rPr>
                <w:sz w:val="24"/>
              </w:rPr>
              <w:t>5 分之间进行打分。</w:t>
            </w:r>
          </w:p>
          <w:p w14:paraId="4F2FD8DF">
            <w:pPr>
              <w:pStyle w:val="9"/>
              <w:spacing w:before="1" w:line="291" w:lineRule="exact"/>
              <w:ind w:left="586"/>
              <w:jc w:val="both"/>
              <w:rPr>
                <w:sz w:val="24"/>
              </w:rPr>
            </w:pPr>
            <w:r>
              <w:rPr>
                <w:sz w:val="24"/>
              </w:rPr>
              <w:t>任何一项的虚假应标，本项直接判为 0 分；</w:t>
            </w:r>
          </w:p>
        </w:tc>
        <w:tc>
          <w:tcPr>
            <w:tcW w:w="1182" w:type="dxa"/>
          </w:tcPr>
          <w:p w14:paraId="72730FF3">
            <w:pPr>
              <w:pStyle w:val="9"/>
              <w:rPr>
                <w:rFonts w:ascii="Times New Roman"/>
                <w:sz w:val="24"/>
              </w:rPr>
            </w:pPr>
          </w:p>
        </w:tc>
      </w:tr>
      <w:tr w14:paraId="2F51EF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1455" w:type="dxa"/>
          </w:tcPr>
          <w:p w14:paraId="3BC51859">
            <w:pPr>
              <w:pStyle w:val="9"/>
              <w:spacing w:before="11"/>
              <w:rPr>
                <w:sz w:val="31"/>
              </w:rPr>
            </w:pPr>
          </w:p>
          <w:p w14:paraId="0D3F7C2B">
            <w:pPr>
              <w:pStyle w:val="9"/>
              <w:spacing w:before="1" w:line="280" w:lineRule="auto"/>
              <w:ind w:left="306" w:right="116" w:hanging="180"/>
              <w:rPr>
                <w:sz w:val="24"/>
              </w:rPr>
            </w:pPr>
            <w:r>
              <w:rPr>
                <w:sz w:val="24"/>
              </w:rPr>
              <w:t xml:space="preserve">服务应急预案 </w:t>
            </w:r>
            <w:r>
              <w:rPr>
                <w:rFonts w:hint="eastAsia"/>
                <w:sz w:val="24"/>
                <w:lang w:val="en-US" w:eastAsia="zh-CN"/>
              </w:rPr>
              <w:t>10</w:t>
            </w:r>
            <w:r>
              <w:rPr>
                <w:sz w:val="24"/>
              </w:rPr>
              <w:t xml:space="preserve"> 分</w:t>
            </w:r>
          </w:p>
        </w:tc>
        <w:tc>
          <w:tcPr>
            <w:tcW w:w="6719" w:type="dxa"/>
          </w:tcPr>
          <w:p w14:paraId="0E72F83A">
            <w:pPr>
              <w:pStyle w:val="9"/>
              <w:spacing w:before="1" w:line="360" w:lineRule="exact"/>
              <w:ind w:left="106" w:right="96" w:firstLine="48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投标人是否建立运行服务保障应急预案，对系统实施可能遇到的问题及其应对措施的考虑情况，在维保服务期间巡检、</w:t>
            </w:r>
            <w:r>
              <w:rPr>
                <w:spacing w:val="-9"/>
                <w:sz w:val="24"/>
              </w:rPr>
              <w:t xml:space="preserve">故障处理的组织和联系机制的合理性、有效性等，在 </w:t>
            </w:r>
            <w:r>
              <w:rPr>
                <w:sz w:val="24"/>
              </w:rPr>
              <w:t>5-1</w:t>
            </w:r>
            <w:r>
              <w:rPr>
                <w:rFonts w:hint="eastAsia"/>
                <w:sz w:val="24"/>
                <w:lang w:val="en-US" w:eastAsia="zh-CN"/>
              </w:rPr>
              <w:t>0</w:t>
            </w:r>
            <w:r>
              <w:rPr>
                <w:spacing w:val="-26"/>
                <w:sz w:val="24"/>
              </w:rPr>
              <w:t xml:space="preserve"> 分之</w:t>
            </w:r>
            <w:r>
              <w:rPr>
                <w:sz w:val="24"/>
              </w:rPr>
              <w:t>间进行打分。</w:t>
            </w:r>
          </w:p>
        </w:tc>
        <w:tc>
          <w:tcPr>
            <w:tcW w:w="1182" w:type="dxa"/>
          </w:tcPr>
          <w:p w14:paraId="25F01F8D">
            <w:pPr>
              <w:pStyle w:val="9"/>
              <w:rPr>
                <w:rFonts w:ascii="Times New Roman"/>
                <w:sz w:val="24"/>
              </w:rPr>
            </w:pPr>
          </w:p>
        </w:tc>
      </w:tr>
      <w:tr w14:paraId="10EBE8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9" w:hRule="atLeast"/>
        </w:trPr>
        <w:tc>
          <w:tcPr>
            <w:tcW w:w="1455" w:type="dxa"/>
          </w:tcPr>
          <w:p w14:paraId="38AE83DD">
            <w:pPr>
              <w:pStyle w:val="9"/>
              <w:rPr>
                <w:sz w:val="24"/>
              </w:rPr>
            </w:pPr>
          </w:p>
          <w:p w14:paraId="40F56602">
            <w:pPr>
              <w:pStyle w:val="9"/>
              <w:spacing w:before="11"/>
              <w:rPr>
                <w:sz w:val="21"/>
              </w:rPr>
            </w:pPr>
          </w:p>
          <w:p w14:paraId="1E441208">
            <w:pPr>
              <w:pStyle w:val="9"/>
              <w:spacing w:line="280" w:lineRule="auto"/>
              <w:ind w:left="606" w:right="97" w:hanging="500"/>
              <w:rPr>
                <w:sz w:val="24"/>
              </w:rPr>
            </w:pPr>
            <w:r>
              <w:rPr>
                <w:sz w:val="24"/>
              </w:rPr>
              <w:t>售后服务</w:t>
            </w:r>
            <w:r>
              <w:rPr>
                <w:rFonts w:hint="eastAsia"/>
                <w:sz w:val="24"/>
                <w:lang w:val="en-US" w:eastAsia="zh-CN"/>
              </w:rPr>
              <w:t>9</w:t>
            </w:r>
            <w:r>
              <w:rPr>
                <w:sz w:val="24"/>
              </w:rPr>
              <w:t xml:space="preserve"> 分</w:t>
            </w:r>
          </w:p>
        </w:tc>
        <w:tc>
          <w:tcPr>
            <w:tcW w:w="6719" w:type="dxa"/>
          </w:tcPr>
          <w:p w14:paraId="46008382">
            <w:pPr>
              <w:pStyle w:val="9"/>
              <w:spacing w:before="47" w:line="280" w:lineRule="auto"/>
              <w:ind w:left="106" w:right="96" w:firstLine="480"/>
              <w:rPr>
                <w:sz w:val="24"/>
              </w:rPr>
            </w:pPr>
            <w:r>
              <w:rPr>
                <w:sz w:val="24"/>
              </w:rPr>
              <w:t>依据本系统维护维修单项价目表的品目种类、报价明晰、服务效率及措施、技术支持等内容齐全度进行评议。</w:t>
            </w:r>
          </w:p>
          <w:p w14:paraId="124B3374">
            <w:pPr>
              <w:pStyle w:val="9"/>
              <w:spacing w:before="1" w:line="280" w:lineRule="auto"/>
              <w:ind w:left="106" w:right="96" w:firstLine="480"/>
              <w:rPr>
                <w:sz w:val="24"/>
              </w:rPr>
            </w:pPr>
            <w:r>
              <w:rPr>
                <w:sz w:val="24"/>
              </w:rPr>
              <w:t>依据本维保售后服务承担方的技术水平、人员及设施配备配备等保障措施进行评议。</w:t>
            </w:r>
          </w:p>
          <w:p w14:paraId="7CEC13CA">
            <w:pPr>
              <w:pStyle w:val="9"/>
              <w:spacing w:line="291" w:lineRule="exact"/>
              <w:ind w:left="586"/>
              <w:rPr>
                <w:sz w:val="24"/>
              </w:rPr>
            </w:pPr>
            <w:r>
              <w:rPr>
                <w:sz w:val="24"/>
              </w:rPr>
              <w:t>在 3-</w:t>
            </w:r>
            <w:r>
              <w:rPr>
                <w:rFonts w:hint="eastAsia"/>
                <w:sz w:val="24"/>
                <w:lang w:val="en-US" w:eastAsia="zh-CN"/>
              </w:rPr>
              <w:t>9</w:t>
            </w:r>
            <w:r>
              <w:rPr>
                <w:sz w:val="24"/>
              </w:rPr>
              <w:t xml:space="preserve"> 分之间进行打分。</w:t>
            </w:r>
          </w:p>
        </w:tc>
        <w:tc>
          <w:tcPr>
            <w:tcW w:w="1182" w:type="dxa"/>
          </w:tcPr>
          <w:p w14:paraId="6E099FD7">
            <w:pPr>
              <w:pStyle w:val="9"/>
              <w:rPr>
                <w:rFonts w:ascii="Times New Roman"/>
                <w:sz w:val="24"/>
              </w:rPr>
            </w:pPr>
          </w:p>
        </w:tc>
      </w:tr>
      <w:tr w14:paraId="2531E7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0" w:hRule="atLeast"/>
        </w:trPr>
        <w:tc>
          <w:tcPr>
            <w:tcW w:w="1455" w:type="dxa"/>
          </w:tcPr>
          <w:p w14:paraId="0EEBC6CC">
            <w:pPr>
              <w:pStyle w:val="9"/>
              <w:spacing w:before="36" w:line="360" w:lineRule="atLeast"/>
              <w:ind w:left="126" w:right="116" w:firstLine="2"/>
              <w:jc w:val="center"/>
              <w:rPr>
                <w:sz w:val="24"/>
              </w:rPr>
            </w:pPr>
            <w:r>
              <w:rPr>
                <w:rFonts w:hint="eastAsia"/>
                <w:spacing w:val="-12"/>
                <w:sz w:val="24"/>
                <w:lang w:eastAsia="zh-CN"/>
              </w:rPr>
              <w:t>服务能力</w:t>
            </w:r>
            <w:r>
              <w:rPr>
                <w:rFonts w:hint="eastAsia"/>
                <w:spacing w:val="-12"/>
                <w:sz w:val="24"/>
                <w:lang w:val="en-US" w:eastAsia="zh-CN"/>
              </w:rPr>
              <w:t>3</w:t>
            </w:r>
            <w:r>
              <w:rPr>
                <w:sz w:val="24"/>
              </w:rPr>
              <w:t xml:space="preserve"> 分（</w:t>
            </w:r>
            <w:r>
              <w:rPr>
                <w:spacing w:val="-6"/>
                <w:sz w:val="24"/>
              </w:rPr>
              <w:t>本项统</w:t>
            </w:r>
            <w:r>
              <w:rPr>
                <w:sz w:val="24"/>
              </w:rPr>
              <w:t>一计算分 值）</w:t>
            </w:r>
          </w:p>
        </w:tc>
        <w:tc>
          <w:tcPr>
            <w:tcW w:w="6719" w:type="dxa"/>
          </w:tcPr>
          <w:p w14:paraId="204EA2CA">
            <w:pPr>
              <w:pStyle w:val="9"/>
              <w:spacing w:before="65" w:line="297" w:lineRule="auto"/>
              <w:ind w:left="106" w:right="-29" w:firstLine="480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仅限于投标人自身所属的自 </w:t>
            </w:r>
            <w:r>
              <w:rPr>
                <w:sz w:val="24"/>
              </w:rPr>
              <w:t>20</w:t>
            </w:r>
            <w:r>
              <w:rPr>
                <w:rFonts w:hint="eastAsia"/>
                <w:sz w:val="24"/>
                <w:lang w:val="en-US" w:eastAsia="zh-CN"/>
              </w:rPr>
              <w:t>22</w:t>
            </w:r>
            <w:r>
              <w:rPr>
                <w:spacing w:val="-51"/>
                <w:sz w:val="24"/>
              </w:rPr>
              <w:t xml:space="preserve"> 年 </w:t>
            </w:r>
            <w:r>
              <w:rPr>
                <w:sz w:val="24"/>
              </w:rPr>
              <w:t>1</w:t>
            </w:r>
            <w:r>
              <w:rPr>
                <w:spacing w:val="-51"/>
                <w:sz w:val="24"/>
              </w:rPr>
              <w:t xml:space="preserve"> 月 </w:t>
            </w:r>
            <w:r>
              <w:rPr>
                <w:sz w:val="24"/>
              </w:rPr>
              <w:t>1</w:t>
            </w:r>
            <w:r>
              <w:rPr>
                <w:spacing w:val="-11"/>
                <w:sz w:val="24"/>
              </w:rPr>
              <w:t xml:space="preserve"> 日至今的消防维保类</w:t>
            </w:r>
            <w:r>
              <w:rPr>
                <w:rFonts w:hint="eastAsia"/>
                <w:spacing w:val="-11"/>
                <w:sz w:val="24"/>
                <w:lang w:eastAsia="zh-CN"/>
              </w:rPr>
              <w:t>服务</w:t>
            </w:r>
            <w:r>
              <w:rPr>
                <w:spacing w:val="-11"/>
                <w:sz w:val="24"/>
              </w:rPr>
              <w:t>，以项目名称、数量、价格清晰明确、全本合同内容</w:t>
            </w:r>
            <w:r>
              <w:rPr>
                <w:spacing w:val="-16"/>
                <w:sz w:val="24"/>
              </w:rPr>
              <w:t xml:space="preserve">完整规范的原始合同为准，每完整 </w:t>
            </w:r>
            <w:r>
              <w:rPr>
                <w:sz w:val="24"/>
              </w:rPr>
              <w:t>1</w:t>
            </w:r>
            <w:r>
              <w:rPr>
                <w:spacing w:val="-30"/>
                <w:sz w:val="24"/>
              </w:rPr>
              <w:t xml:space="preserve"> 份得 </w:t>
            </w:r>
            <w:r>
              <w:rPr>
                <w:sz w:val="24"/>
              </w:rPr>
              <w:t>1</w:t>
            </w:r>
            <w:r>
              <w:rPr>
                <w:spacing w:val="-23"/>
                <w:sz w:val="24"/>
              </w:rPr>
              <w:t xml:space="preserve"> 分，本项最高 </w:t>
            </w:r>
            <w:r>
              <w:rPr>
                <w:rFonts w:hint="eastAsia"/>
                <w:spacing w:val="-23"/>
                <w:sz w:val="24"/>
                <w:lang w:val="en-US" w:eastAsia="zh-CN"/>
              </w:rPr>
              <w:t>3</w:t>
            </w:r>
            <w:r>
              <w:rPr>
                <w:spacing w:val="-24"/>
                <w:sz w:val="24"/>
              </w:rPr>
              <w:t xml:space="preserve"> 分。</w:t>
            </w:r>
          </w:p>
          <w:p w14:paraId="5D324DD5">
            <w:pPr>
              <w:pStyle w:val="9"/>
              <w:spacing w:line="291" w:lineRule="exact"/>
              <w:ind w:left="586" w:right="-29"/>
              <w:rPr>
                <w:sz w:val="24"/>
              </w:rPr>
            </w:pPr>
            <w:r>
              <w:rPr>
                <w:spacing w:val="-7"/>
                <w:sz w:val="24"/>
              </w:rPr>
              <w:t>业绩资料不符合附件规定要求内容者，本项得分直接判零。</w:t>
            </w:r>
          </w:p>
        </w:tc>
        <w:tc>
          <w:tcPr>
            <w:tcW w:w="1182" w:type="dxa"/>
          </w:tcPr>
          <w:p w14:paraId="5D9EB6A5">
            <w:pPr>
              <w:pStyle w:val="9"/>
              <w:rPr>
                <w:rFonts w:ascii="Times New Roman"/>
                <w:sz w:val="24"/>
              </w:rPr>
            </w:pPr>
          </w:p>
        </w:tc>
      </w:tr>
      <w:tr w14:paraId="3F4647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0" w:hRule="atLeast"/>
        </w:trPr>
        <w:tc>
          <w:tcPr>
            <w:tcW w:w="1455" w:type="dxa"/>
          </w:tcPr>
          <w:p w14:paraId="776CE111">
            <w:pPr>
              <w:pStyle w:val="9"/>
              <w:rPr>
                <w:sz w:val="24"/>
              </w:rPr>
            </w:pPr>
          </w:p>
          <w:p w14:paraId="04E78581">
            <w:pPr>
              <w:pStyle w:val="9"/>
              <w:rPr>
                <w:sz w:val="24"/>
              </w:rPr>
            </w:pPr>
          </w:p>
          <w:p w14:paraId="3C47B971">
            <w:pPr>
              <w:pStyle w:val="9"/>
              <w:spacing w:before="6"/>
              <w:rPr>
                <w:sz w:val="17"/>
              </w:rPr>
            </w:pPr>
          </w:p>
          <w:p w14:paraId="7D366C9C">
            <w:pPr>
              <w:pStyle w:val="9"/>
              <w:spacing w:line="280" w:lineRule="auto"/>
              <w:ind w:left="126" w:right="116"/>
              <w:jc w:val="both"/>
              <w:rPr>
                <w:sz w:val="24"/>
              </w:rPr>
            </w:pPr>
            <w:r>
              <w:rPr>
                <w:sz w:val="24"/>
              </w:rPr>
              <w:t xml:space="preserve">授权代表的现场交流、答辩 </w:t>
            </w:r>
            <w:r>
              <w:rPr>
                <w:rFonts w:hint="eastAsia"/>
                <w:sz w:val="24"/>
                <w:lang w:val="en-US" w:eastAsia="zh-CN"/>
              </w:rPr>
              <w:t>3</w:t>
            </w:r>
            <w:r>
              <w:rPr>
                <w:sz w:val="24"/>
              </w:rPr>
              <w:t xml:space="preserve"> 分</w:t>
            </w:r>
          </w:p>
        </w:tc>
        <w:tc>
          <w:tcPr>
            <w:tcW w:w="6719" w:type="dxa"/>
          </w:tcPr>
          <w:p w14:paraId="18EB391C">
            <w:pPr>
              <w:pStyle w:val="9"/>
              <w:spacing w:before="66" w:line="295" w:lineRule="auto"/>
              <w:ind w:left="106" w:right="-29" w:firstLine="480"/>
              <w:jc w:val="both"/>
              <w:rPr>
                <w:sz w:val="24"/>
              </w:rPr>
            </w:pPr>
            <w:r>
              <w:rPr>
                <w:sz w:val="24"/>
              </w:rPr>
              <w:t>视投标人于评标现场对现场勘验情况的描述、中标后项目实施的描述、省内外用户介绍，以及进一步提供优惠措施的力</w:t>
            </w:r>
            <w:r>
              <w:rPr>
                <w:spacing w:val="-14"/>
                <w:sz w:val="24"/>
              </w:rPr>
              <w:t xml:space="preserve">度、实用性，并结合评委提问及应答，在 </w:t>
            </w:r>
            <w:r>
              <w:rPr>
                <w:sz w:val="24"/>
              </w:rPr>
              <w:t>0-</w:t>
            </w:r>
            <w:r>
              <w:rPr>
                <w:rFonts w:hint="eastAsia"/>
                <w:sz w:val="24"/>
                <w:lang w:val="en-US" w:eastAsia="zh-CN"/>
              </w:rPr>
              <w:t>3</w:t>
            </w:r>
            <w:r>
              <w:rPr>
                <w:spacing w:val="-9"/>
                <w:sz w:val="24"/>
              </w:rPr>
              <w:t xml:space="preserve"> 分之间进行打分。</w:t>
            </w:r>
          </w:p>
          <w:p w14:paraId="66032C77">
            <w:pPr>
              <w:pStyle w:val="9"/>
              <w:spacing w:before="5" w:line="295" w:lineRule="auto"/>
              <w:ind w:left="106" w:right="120" w:firstLine="480"/>
              <w:rPr>
                <w:sz w:val="24"/>
              </w:rPr>
            </w:pPr>
            <w:r>
              <w:rPr>
                <w:sz w:val="24"/>
              </w:rPr>
              <w:t>任一投标人，如果对本采购人与省内外其他用户实行价格歧视、服务歧视，一经存疑，本项得分直接判零。</w:t>
            </w:r>
          </w:p>
          <w:p w14:paraId="42E3F197">
            <w:pPr>
              <w:pStyle w:val="9"/>
              <w:spacing w:before="2"/>
              <w:ind w:left="586"/>
              <w:rPr>
                <w:sz w:val="24"/>
              </w:rPr>
            </w:pPr>
            <w:r>
              <w:rPr>
                <w:sz w:val="24"/>
              </w:rPr>
              <w:t>未实地勘验现场者，或不参加现场交流、答辩者，本项得</w:t>
            </w:r>
          </w:p>
          <w:p w14:paraId="3A99F9CA">
            <w:pPr>
              <w:pStyle w:val="9"/>
              <w:spacing w:before="74" w:line="294" w:lineRule="exact"/>
              <w:ind w:left="106"/>
              <w:rPr>
                <w:sz w:val="24"/>
              </w:rPr>
            </w:pPr>
            <w:r>
              <w:rPr>
                <w:sz w:val="24"/>
              </w:rPr>
              <w:t>分直接判零。</w:t>
            </w:r>
          </w:p>
        </w:tc>
        <w:tc>
          <w:tcPr>
            <w:tcW w:w="1182" w:type="dxa"/>
          </w:tcPr>
          <w:p w14:paraId="0B254C96">
            <w:pPr>
              <w:pStyle w:val="9"/>
              <w:rPr>
                <w:rFonts w:ascii="Times New Roman"/>
                <w:sz w:val="24"/>
              </w:rPr>
            </w:pPr>
          </w:p>
        </w:tc>
      </w:tr>
      <w:tr w14:paraId="3B3A40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1455" w:type="dxa"/>
          </w:tcPr>
          <w:p w14:paraId="51366EBA">
            <w:pPr>
              <w:pStyle w:val="9"/>
              <w:spacing w:line="280" w:lineRule="auto"/>
              <w:ind w:left="126" w:right="116"/>
              <w:jc w:val="both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配备件</w:t>
            </w:r>
            <w:r>
              <w:rPr>
                <w:rFonts w:hint="eastAsia"/>
                <w:sz w:val="24"/>
                <w:lang w:eastAsia="zh-CN"/>
              </w:rPr>
              <w:t>单价下浮率</w:t>
            </w:r>
            <w:r>
              <w:rPr>
                <w:rFonts w:hint="eastAsia" w:ascii="宋体" w:hAnsi="宋体"/>
                <w:sz w:val="24"/>
              </w:rPr>
              <w:t>得分</w:t>
            </w:r>
            <w:r>
              <w:rPr>
                <w:rFonts w:hint="eastAsia"/>
                <w:sz w:val="24"/>
                <w:lang w:val="en-US" w:eastAsia="zh-CN"/>
              </w:rPr>
              <w:t>10分</w:t>
            </w:r>
          </w:p>
        </w:tc>
        <w:tc>
          <w:tcPr>
            <w:tcW w:w="6719" w:type="dxa"/>
          </w:tcPr>
          <w:p w14:paraId="1A4A795C">
            <w:pPr>
              <w:pStyle w:val="9"/>
              <w:spacing w:before="74" w:line="294" w:lineRule="exact"/>
              <w:ind w:left="106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报价得分：满分</w:t>
            </w:r>
            <w:r>
              <w:rPr>
                <w:rFonts w:hint="eastAsia"/>
                <w:sz w:val="24"/>
                <w:lang w:val="en-US" w:eastAsia="zh-CN"/>
              </w:rPr>
              <w:t>10</w:t>
            </w:r>
            <w:r>
              <w:rPr>
                <w:rFonts w:hint="eastAsia"/>
                <w:sz w:val="24"/>
              </w:rPr>
              <w:t>分</w:t>
            </w:r>
          </w:p>
          <w:p w14:paraId="44CB49A1">
            <w:pPr>
              <w:pStyle w:val="9"/>
              <w:spacing w:before="74" w:line="294" w:lineRule="exact"/>
              <w:ind w:left="106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取有最</w:t>
            </w:r>
            <w:r>
              <w:rPr>
                <w:rFonts w:hint="eastAsia"/>
                <w:sz w:val="24"/>
                <w:lang w:eastAsia="zh-CN"/>
              </w:rPr>
              <w:t>高单价下浮率</w:t>
            </w:r>
            <w:r>
              <w:rPr>
                <w:rFonts w:hint="eastAsia"/>
                <w:sz w:val="24"/>
              </w:rPr>
              <w:t>报价为评标基准价；</w:t>
            </w:r>
          </w:p>
          <w:p w14:paraId="442D017D">
            <w:pPr>
              <w:pStyle w:val="9"/>
              <w:spacing w:before="74" w:line="294" w:lineRule="exact"/>
              <w:ind w:left="106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与评标基准价相同的报价得满分，其他供应商的报价得分按照下列公式计算：</w:t>
            </w:r>
          </w:p>
          <w:p w14:paraId="22BC38A2">
            <w:pPr>
              <w:pStyle w:val="9"/>
              <w:spacing w:before="74" w:line="294" w:lineRule="exact"/>
              <w:ind w:left="106"/>
              <w:rPr>
                <w:sz w:val="24"/>
              </w:rPr>
            </w:pPr>
            <w:r>
              <w:rPr>
                <w:rFonts w:hint="eastAsia"/>
                <w:sz w:val="24"/>
              </w:rPr>
              <w:t>供应商总报价得分=（供应商</w:t>
            </w:r>
            <w:r>
              <w:rPr>
                <w:rFonts w:hint="eastAsia"/>
                <w:sz w:val="24"/>
                <w:lang w:eastAsia="zh-CN"/>
              </w:rPr>
              <w:t>备件下浮率</w:t>
            </w:r>
            <w:r>
              <w:rPr>
                <w:rFonts w:hint="eastAsia"/>
                <w:sz w:val="24"/>
              </w:rPr>
              <w:t>/评标基准价）×</w:t>
            </w:r>
            <w:r>
              <w:rPr>
                <w:rFonts w:hint="eastAsia"/>
                <w:sz w:val="24"/>
                <w:lang w:val="en-US" w:eastAsia="zh-CN"/>
              </w:rPr>
              <w:t>1</w:t>
            </w:r>
            <w:r>
              <w:rPr>
                <w:rFonts w:hint="eastAsia"/>
                <w:sz w:val="24"/>
              </w:rPr>
              <w:t>0分</w:t>
            </w:r>
          </w:p>
        </w:tc>
        <w:tc>
          <w:tcPr>
            <w:tcW w:w="1182" w:type="dxa"/>
          </w:tcPr>
          <w:p w14:paraId="11F2A395">
            <w:pPr>
              <w:pStyle w:val="9"/>
              <w:rPr>
                <w:rFonts w:ascii="Times New Roman"/>
                <w:sz w:val="24"/>
              </w:rPr>
            </w:pPr>
          </w:p>
        </w:tc>
      </w:tr>
    </w:tbl>
    <w:p w14:paraId="4B4EE727">
      <w:pPr>
        <w:pStyle w:val="2"/>
        <w:spacing w:before="104"/>
        <w:ind w:left="540"/>
        <w:rPr>
          <w:sz w:val="20"/>
        </w:rPr>
      </w:pPr>
      <w:r>
        <w:rPr>
          <w:b/>
          <w:sz w:val="28"/>
        </w:rPr>
        <w:t>注：</w:t>
      </w:r>
      <w:r>
        <w:t>分数计取，精确至小数点后两位数。</w:t>
      </w:r>
    </w:p>
    <w:sectPr>
      <w:headerReference r:id="rId5" w:type="default"/>
      <w:type w:val="continuous"/>
      <w:pgSz w:w="11910" w:h="16840"/>
      <w:pgMar w:top="1440" w:right="960" w:bottom="280" w:left="13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5A1EA5"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  <w:rPr>
        <w:rFonts w:hint="default" w:ascii="Times New Roman" w:hAnsi="Times New Roman" w:eastAsia="宋体" w:cs="Times New Roman"/>
        <w:kern w:val="2"/>
        <w:sz w:val="18"/>
        <w:szCs w:val="24"/>
        <w:lang w:val="en-US" w:eastAsia="zh-CN" w:bidi="ar-SA"/>
      </w:rPr>
    </w:pPr>
    <w:r>
      <w:rPr>
        <w:rFonts w:hint="eastAsia" w:ascii="Times New Roman" w:hAnsi="Times New Roman" w:eastAsia="宋体" w:cs="Times New Roman"/>
        <w:kern w:val="2"/>
        <w:sz w:val="18"/>
        <w:szCs w:val="24"/>
        <w:lang w:val="en-US" w:eastAsia="zh-CN" w:bidi="ar-SA"/>
      </w:rPr>
      <w:t>项目名称：</w:t>
    </w:r>
    <w:r>
      <w:rPr>
        <w:rFonts w:hint="eastAsia" w:ascii="Times New Roman" w:hAnsi="Times New Roman" w:cs="Times New Roman"/>
        <w:kern w:val="2"/>
        <w:sz w:val="18"/>
        <w:szCs w:val="24"/>
        <w:lang w:val="en-US" w:eastAsia="zh-CN" w:bidi="ar-SA"/>
      </w:rPr>
      <w:t>楚雄市人民</w:t>
    </w:r>
    <w:r>
      <w:rPr>
        <w:rFonts w:hint="eastAsia" w:ascii="Times New Roman" w:hAnsi="Times New Roman" w:eastAsia="宋体" w:cs="Times New Roman"/>
        <w:kern w:val="2"/>
        <w:sz w:val="18"/>
        <w:szCs w:val="24"/>
        <w:lang w:val="en-US" w:eastAsia="zh-CN" w:bidi="ar-SA"/>
      </w:rPr>
      <w:t>医院</w:t>
    </w:r>
    <w:r>
      <w:rPr>
        <w:rFonts w:hint="eastAsia" w:ascii="Times New Roman" w:hAnsi="Times New Roman" w:cs="Times New Roman"/>
        <w:kern w:val="2"/>
        <w:sz w:val="18"/>
        <w:szCs w:val="24"/>
        <w:lang w:val="en-US" w:eastAsia="zh-CN" w:bidi="ar-SA"/>
      </w:rPr>
      <w:t>2026年</w:t>
    </w:r>
    <w:r>
      <w:rPr>
        <w:rFonts w:hint="eastAsia" w:ascii="Times New Roman" w:hAnsi="Times New Roman" w:eastAsia="宋体" w:cs="Times New Roman"/>
        <w:kern w:val="2"/>
        <w:sz w:val="18"/>
        <w:szCs w:val="24"/>
        <w:lang w:val="en-US" w:eastAsia="zh-CN" w:bidi="ar-SA"/>
      </w:rPr>
      <w:t>建筑消防设施维护保养检测服务项目</w:t>
    </w:r>
    <w:r>
      <w:rPr>
        <w:rFonts w:hint="eastAsia" w:ascii="Times New Roman" w:hAnsi="Times New Roman" w:eastAsia="宋体" w:cs="Times New Roman"/>
        <w:kern w:val="2"/>
        <w:sz w:val="18"/>
        <w:szCs w:val="24"/>
        <w:lang w:val="en-US" w:eastAsia="zh-CN" w:bidi="ar-SA"/>
      </w:rPr>
      <w:tab/>
    </w:r>
    <w:r>
      <w:rPr>
        <w:rFonts w:hint="eastAsia" w:ascii="Times New Roman" w:hAnsi="Times New Roman" w:eastAsia="宋体" w:cs="Times New Roman"/>
        <w:kern w:val="2"/>
        <w:sz w:val="18"/>
        <w:szCs w:val="24"/>
        <w:lang w:val="en-US" w:eastAsia="zh-CN" w:bidi="ar-SA"/>
      </w:rPr>
      <w:t xml:space="preserve">  项目编号：</w:t>
    </w:r>
    <w:r>
      <w:rPr>
        <w:rFonts w:hint="eastAsia" w:ascii="Times New Roman" w:hAnsi="Times New Roman" w:cs="Times New Roman"/>
        <w:kern w:val="2"/>
        <w:sz w:val="18"/>
        <w:szCs w:val="24"/>
        <w:lang w:val="en-US" w:eastAsia="zh-CN" w:bidi="ar-SA"/>
      </w:rPr>
      <w:t>26</w:t>
    </w:r>
    <w:r>
      <w:rPr>
        <w:rFonts w:hint="eastAsia" w:ascii="Times New Roman" w:hAnsi="Times New Roman" w:eastAsia="宋体" w:cs="Times New Roman"/>
        <w:kern w:val="2"/>
        <w:sz w:val="18"/>
        <w:szCs w:val="24"/>
        <w:lang w:val="en-US" w:eastAsia="zh-CN" w:bidi="ar-SA"/>
      </w:rPr>
      <w:t>YC010</w:t>
    </w:r>
    <w:r>
      <w:rPr>
        <w:rFonts w:hint="eastAsia" w:ascii="Times New Roman" w:hAnsi="Times New Roman" w:cs="Times New Roman"/>
        <w:kern w:val="2"/>
        <w:sz w:val="18"/>
        <w:szCs w:val="24"/>
        <w:lang w:val="en-US" w:eastAsia="zh-CN" w:bidi="ar-SA"/>
      </w:rPr>
      <w:t>27</w:t>
    </w:r>
  </w:p>
  <w:p w14:paraId="70A0DD2C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1861E5"/>
    <w:rsid w:val="281D42BE"/>
    <w:rsid w:val="2E206261"/>
    <w:rsid w:val="2FB603E0"/>
    <w:rsid w:val="3B212741"/>
    <w:rsid w:val="58616BE5"/>
    <w:rsid w:val="5D6C1469"/>
    <w:rsid w:val="62FA39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rPr>
      <w:lang w:val="zh-CN" w:eastAsia="zh-CN" w:bidi="zh-CN"/>
    </w:rPr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857</Words>
  <Characters>878</Characters>
  <TotalTime>9</TotalTime>
  <ScaleCrop>false</ScaleCrop>
  <LinksUpToDate>false</LinksUpToDate>
  <CharactersWithSpaces>911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2021-01-29T08:55:00Z</dcterms:created>
  <dc:creator>Administrator</dc:creator>
  <cp:lastModifiedBy>潘发美</cp:lastModifiedBy>
  <cp:lastPrinted>2021-02-01T08:15:00Z</cp:lastPrinted>
  <dcterms:modified xsi:type="dcterms:W3CDTF">2026-03-12T02:08:16Z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eyJoZGlkIjoiZTAyODc0NWFhNzJiZDE1NWMyMzAyZTlhZWFhYzc1ZDQiLCJ1c2VySWQiOiIxNjY2ODYwMDczIn0=</vt:lpwstr>
  </property>
  <property fmtid="{D5CDD505-2E9C-101B-9397-08002B2CF9AE}" pid="4" name="ICV">
    <vt:lpwstr>65F794B28E5148C2BAF6A8510BEB9119_12</vt:lpwstr>
  </property>
</Properties>
</file>